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434" w:rsidRPr="00642F87" w:rsidRDefault="00E97FA6" w:rsidP="00A41434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  <w:b/>
          <w:bCs/>
          <w:sz w:val="22"/>
          <w:lang w:val="kk-KZ"/>
        </w:rPr>
      </w:pPr>
      <w:r w:rsidRPr="00642F87">
        <w:rPr>
          <w:rFonts w:ascii="Times New Roman" w:hAnsi="Times New Roman" w:cs="Times New Roman"/>
          <w:b/>
          <w:bCs/>
          <w:sz w:val="22"/>
          <w:lang w:val="kk-KZ"/>
        </w:rPr>
        <w:t xml:space="preserve">ЖОБАНЫҢ </w:t>
      </w:r>
      <w:r w:rsidR="00A41434" w:rsidRPr="00642F87">
        <w:rPr>
          <w:rFonts w:ascii="Times New Roman" w:hAnsi="Times New Roman" w:cs="Times New Roman"/>
          <w:b/>
          <w:bCs/>
          <w:sz w:val="22"/>
          <w:lang w:val="kk-KZ"/>
        </w:rPr>
        <w:t>ЛОГИ</w:t>
      </w:r>
      <w:r w:rsidRPr="00642F87">
        <w:rPr>
          <w:rFonts w:ascii="Times New Roman" w:hAnsi="Times New Roman" w:cs="Times New Roman"/>
          <w:b/>
          <w:bCs/>
          <w:sz w:val="22"/>
          <w:lang w:val="kk-KZ"/>
        </w:rPr>
        <w:t>КАЛЫҚ СЫЗБАНҰСҚАСЫ</w:t>
      </w:r>
      <w:r w:rsidR="00A41434" w:rsidRPr="00642F87">
        <w:rPr>
          <w:rFonts w:ascii="Times New Roman" w:hAnsi="Times New Roman" w:cs="Times New Roman"/>
          <w:b/>
          <w:bCs/>
          <w:sz w:val="22"/>
          <w:lang w:val="kk-KZ"/>
        </w:rPr>
        <w:t>.</w:t>
      </w:r>
    </w:p>
    <w:p w:rsidR="00E97FA6" w:rsidRPr="00642F87" w:rsidRDefault="00E97FA6" w:rsidP="00E97FA6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gramStart"/>
      <w:r w:rsidRPr="00642F87">
        <w:rPr>
          <w:rFonts w:ascii="Times New Roman" w:hAnsi="Times New Roman" w:cs="Times New Roman"/>
          <w:bCs/>
          <w:sz w:val="22"/>
        </w:rPr>
        <w:t>Мониторинг ж</w:t>
      </w:r>
      <w:proofErr w:type="gramEnd"/>
      <w:r w:rsidRPr="00642F87">
        <w:rPr>
          <w:rFonts w:ascii="Times New Roman" w:hAnsi="Times New Roman" w:cs="Times New Roman"/>
          <w:bCs/>
          <w:sz w:val="22"/>
        </w:rPr>
        <w:t xml:space="preserve">әне бағалау жобаның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логикасымен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ажырамастай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байланыста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.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Ол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келесі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алгоритм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бойынша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қалыптасқан:</w:t>
      </w:r>
    </w:p>
    <w:p w:rsidR="0050142F" w:rsidRPr="00642F87" w:rsidRDefault="003663F5" w:rsidP="0050142F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proofErr w:type="spellStart"/>
      <w:r w:rsidRPr="00642F87">
        <w:rPr>
          <w:rFonts w:ascii="Times New Roman" w:hAnsi="Times New Roman" w:cs="Times New Roman"/>
          <w:bCs/>
          <w:sz w:val="22"/>
        </w:rPr>
        <w:t>Егер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бізде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қажетті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ресурстар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(</w:t>
      </w:r>
      <w:r w:rsidRPr="00642F87">
        <w:rPr>
          <w:rFonts w:ascii="Times New Roman" w:hAnsi="Times New Roman" w:cs="Times New Roman"/>
          <w:bCs/>
          <w:sz w:val="22"/>
          <w:lang w:val="en-US"/>
        </w:rPr>
        <w:t>input</w:t>
      </w:r>
      <w:r w:rsidRPr="00642F87">
        <w:rPr>
          <w:rFonts w:ascii="Times New Roman" w:hAnsi="Times New Roman" w:cs="Times New Roman"/>
          <w:bCs/>
          <w:sz w:val="22"/>
        </w:rPr>
        <w:t xml:space="preserve">)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болса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,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онда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біз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қызметтерді/іс-шараларды (</w:t>
      </w:r>
      <w:r w:rsidRPr="00642F87">
        <w:rPr>
          <w:rFonts w:ascii="Times New Roman" w:hAnsi="Times New Roman" w:cs="Times New Roman"/>
          <w:bCs/>
          <w:sz w:val="22"/>
          <w:lang w:val="en-US"/>
        </w:rPr>
        <w:t>activities</w:t>
      </w:r>
      <w:r w:rsidRPr="00642F87">
        <w:rPr>
          <w:rFonts w:ascii="Times New Roman" w:hAnsi="Times New Roman" w:cs="Times New Roman"/>
          <w:bCs/>
          <w:sz w:val="22"/>
        </w:rPr>
        <w:t xml:space="preserve">)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орындай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аламыз</w:t>
      </w:r>
      <w:proofErr w:type="spellEnd"/>
      <w:r w:rsidR="007A2D54" w:rsidRPr="00642F87">
        <w:rPr>
          <w:rFonts w:ascii="Times New Roman" w:hAnsi="Times New Roman" w:cs="Times New Roman"/>
          <w:bCs/>
          <w:sz w:val="22"/>
        </w:rPr>
        <w:t>;</w:t>
      </w:r>
    </w:p>
    <w:p w:rsidR="0050142F" w:rsidRPr="00642F87" w:rsidRDefault="0050142F" w:rsidP="0050142F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r w:rsidRPr="00642F87">
        <w:rPr>
          <w:rFonts w:ascii="Times New Roman" w:hAnsi="Times New Roman" w:cs="Times New Roman"/>
          <w:bCs/>
          <w:sz w:val="22"/>
        </w:rPr>
        <w:t xml:space="preserve">        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Егер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біз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жоспарланған қызметтерді/іс-шараларды (</w:t>
      </w:r>
      <w:r w:rsidR="003663F5" w:rsidRPr="00642F87">
        <w:rPr>
          <w:rFonts w:ascii="Times New Roman" w:hAnsi="Times New Roman" w:cs="Times New Roman"/>
          <w:bCs/>
          <w:sz w:val="22"/>
          <w:lang w:val="en-US"/>
        </w:rPr>
        <w:t>activities</w:t>
      </w:r>
      <w:r w:rsidR="003663F5" w:rsidRPr="00642F87">
        <w:rPr>
          <w:rFonts w:ascii="Times New Roman" w:hAnsi="Times New Roman" w:cs="Times New Roman"/>
          <w:bCs/>
          <w:sz w:val="22"/>
        </w:rPr>
        <w:t>) сә</w:t>
      </w:r>
      <w:proofErr w:type="gramStart"/>
      <w:r w:rsidR="003663F5" w:rsidRPr="00642F87">
        <w:rPr>
          <w:rFonts w:ascii="Times New Roman" w:hAnsi="Times New Roman" w:cs="Times New Roman"/>
          <w:bCs/>
          <w:sz w:val="22"/>
        </w:rPr>
        <w:t>тт</w:t>
      </w:r>
      <w:proofErr w:type="gramEnd"/>
      <w:r w:rsidR="003663F5" w:rsidRPr="00642F87">
        <w:rPr>
          <w:rFonts w:ascii="Times New Roman" w:hAnsi="Times New Roman" w:cs="Times New Roman"/>
          <w:bCs/>
          <w:sz w:val="22"/>
        </w:rPr>
        <w:t xml:space="preserve">і орындасақ,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онда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ол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бізді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аралық нәтижелерге (</w:t>
      </w:r>
      <w:r w:rsidR="003663F5" w:rsidRPr="00642F87">
        <w:rPr>
          <w:rFonts w:ascii="Times New Roman" w:hAnsi="Times New Roman" w:cs="Times New Roman"/>
          <w:bCs/>
          <w:sz w:val="22"/>
          <w:lang w:val="en-US"/>
        </w:rPr>
        <w:t>output</w:t>
      </w:r>
      <w:r w:rsidR="003663F5" w:rsidRPr="00642F87">
        <w:rPr>
          <w:rFonts w:ascii="Times New Roman" w:hAnsi="Times New Roman" w:cs="Times New Roman"/>
          <w:bCs/>
          <w:sz w:val="22"/>
        </w:rPr>
        <w:t xml:space="preserve">)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жетуге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әкеледі</w:t>
      </w:r>
      <w:r w:rsidRPr="00642F87">
        <w:rPr>
          <w:rFonts w:ascii="Times New Roman" w:hAnsi="Times New Roman" w:cs="Times New Roman"/>
          <w:bCs/>
          <w:sz w:val="22"/>
        </w:rPr>
        <w:t>;</w:t>
      </w:r>
    </w:p>
    <w:p w:rsidR="0050142F" w:rsidRPr="00642F87" w:rsidRDefault="0050142F" w:rsidP="0050142F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r w:rsidRPr="00642F87">
        <w:rPr>
          <w:rFonts w:ascii="Times New Roman" w:hAnsi="Times New Roman" w:cs="Times New Roman"/>
          <w:bCs/>
          <w:sz w:val="22"/>
        </w:rPr>
        <w:t xml:space="preserve">                 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Егер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біз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барлық аралық нәтижелерге (</w:t>
      </w:r>
      <w:r w:rsidR="003663F5" w:rsidRPr="00642F87">
        <w:rPr>
          <w:rFonts w:ascii="Times New Roman" w:hAnsi="Times New Roman" w:cs="Times New Roman"/>
          <w:b/>
          <w:bCs/>
          <w:sz w:val="22"/>
          <w:lang w:val="en-US"/>
        </w:rPr>
        <w:t>output</w:t>
      </w:r>
      <w:r w:rsidR="003663F5" w:rsidRPr="00642F87">
        <w:rPr>
          <w:rFonts w:ascii="Times New Roman" w:hAnsi="Times New Roman" w:cs="Times New Roman"/>
          <w:bCs/>
          <w:sz w:val="22"/>
        </w:rPr>
        <w:t xml:space="preserve">)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жететін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болсақ, жобаның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міндеттерін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шешеміз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>, яғни, соңғы нәтижелерге (</w:t>
      </w:r>
      <w:r w:rsidR="003663F5" w:rsidRPr="00642F87">
        <w:rPr>
          <w:rFonts w:ascii="Times New Roman" w:hAnsi="Times New Roman" w:cs="Times New Roman"/>
          <w:b/>
          <w:bCs/>
          <w:sz w:val="22"/>
          <w:lang w:val="en-US"/>
        </w:rPr>
        <w:t>outcome</w:t>
      </w:r>
      <w:r w:rsidR="003663F5" w:rsidRPr="00642F87">
        <w:rPr>
          <w:rFonts w:ascii="Times New Roman" w:hAnsi="Times New Roman" w:cs="Times New Roman"/>
          <w:bCs/>
          <w:sz w:val="22"/>
        </w:rPr>
        <w:t xml:space="preserve">) қол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жеткіземіз</w:t>
      </w:r>
      <w:proofErr w:type="spellEnd"/>
      <w:r w:rsidR="007A2D54" w:rsidRPr="00642F87">
        <w:rPr>
          <w:rFonts w:ascii="Times New Roman" w:hAnsi="Times New Roman" w:cs="Times New Roman"/>
          <w:bCs/>
          <w:sz w:val="22"/>
        </w:rPr>
        <w:t>;</w:t>
      </w:r>
    </w:p>
    <w:p w:rsidR="007A2D54" w:rsidRPr="00642F87" w:rsidRDefault="0050142F" w:rsidP="007A2D54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r w:rsidRPr="00642F87">
        <w:rPr>
          <w:rFonts w:ascii="Times New Roman" w:hAnsi="Times New Roman" w:cs="Times New Roman"/>
          <w:bCs/>
          <w:sz w:val="22"/>
        </w:rPr>
        <w:t xml:space="preserve">                         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Егер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біз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жобаның соңғы нәтижелерін</w:t>
      </w:r>
      <w:r w:rsidR="003663F5" w:rsidRPr="00642F87">
        <w:rPr>
          <w:rFonts w:ascii="Times New Roman" w:hAnsi="Times New Roman" w:cs="Times New Roman"/>
          <w:bCs/>
          <w:sz w:val="22"/>
          <w:lang w:val="kk-KZ"/>
        </w:rPr>
        <w:t xml:space="preserve">е </w:t>
      </w:r>
      <w:r w:rsidR="003663F5" w:rsidRPr="00642F87">
        <w:rPr>
          <w:rFonts w:ascii="Times New Roman" w:hAnsi="Times New Roman" w:cs="Times New Roman"/>
          <w:bCs/>
          <w:sz w:val="22"/>
        </w:rPr>
        <w:t>(</w:t>
      </w:r>
      <w:r w:rsidR="003663F5" w:rsidRPr="00642F87">
        <w:rPr>
          <w:rFonts w:ascii="Times New Roman" w:hAnsi="Times New Roman" w:cs="Times New Roman"/>
          <w:b/>
          <w:bCs/>
          <w:sz w:val="22"/>
          <w:lang w:val="en-US"/>
        </w:rPr>
        <w:t>outcome</w:t>
      </w:r>
      <w:r w:rsidR="003663F5" w:rsidRPr="00642F87">
        <w:rPr>
          <w:rFonts w:ascii="Times New Roman" w:hAnsi="Times New Roman" w:cs="Times New Roman"/>
          <w:bCs/>
          <w:sz w:val="22"/>
        </w:rPr>
        <w:t xml:space="preserve">)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жететін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болсақ, ұ</w:t>
      </w:r>
      <w:proofErr w:type="gramStart"/>
      <w:r w:rsidR="003663F5" w:rsidRPr="00642F87">
        <w:rPr>
          <w:rFonts w:ascii="Times New Roman" w:hAnsi="Times New Roman" w:cs="Times New Roman"/>
          <w:bCs/>
          <w:sz w:val="22"/>
        </w:rPr>
        <w:t xml:space="preserve">зақ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мерз</w:t>
      </w:r>
      <w:proofErr w:type="gramEnd"/>
      <w:r w:rsidR="003663F5" w:rsidRPr="00642F87">
        <w:rPr>
          <w:rFonts w:ascii="Times New Roman" w:hAnsi="Times New Roman" w:cs="Times New Roman"/>
          <w:bCs/>
          <w:sz w:val="22"/>
        </w:rPr>
        <w:t>імді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нәтижеге (</w:t>
      </w:r>
      <w:r w:rsidR="003663F5" w:rsidRPr="00642F87">
        <w:rPr>
          <w:rFonts w:ascii="Times New Roman" w:hAnsi="Times New Roman" w:cs="Times New Roman"/>
          <w:b/>
          <w:bCs/>
          <w:sz w:val="22"/>
          <w:lang w:val="en-US"/>
        </w:rPr>
        <w:t>impact</w:t>
      </w:r>
      <w:r w:rsidR="003663F5" w:rsidRPr="00642F87">
        <w:rPr>
          <w:rFonts w:ascii="Times New Roman" w:hAnsi="Times New Roman" w:cs="Times New Roman"/>
          <w:bCs/>
          <w:sz w:val="22"/>
        </w:rPr>
        <w:t xml:space="preserve">), </w:t>
      </w:r>
      <w:proofErr w:type="spellStart"/>
      <w:r w:rsidR="003663F5" w:rsidRPr="00642F87">
        <w:rPr>
          <w:rFonts w:ascii="Times New Roman" w:hAnsi="Times New Roman" w:cs="Times New Roman"/>
          <w:bCs/>
          <w:sz w:val="22"/>
        </w:rPr>
        <w:t>сонымен</w:t>
      </w:r>
      <w:proofErr w:type="spellEnd"/>
      <w:r w:rsidR="003663F5" w:rsidRPr="00642F87">
        <w:rPr>
          <w:rFonts w:ascii="Times New Roman" w:hAnsi="Times New Roman" w:cs="Times New Roman"/>
          <w:bCs/>
          <w:sz w:val="22"/>
        </w:rPr>
        <w:t xml:space="preserve"> қатар, жобаның мақсатына (</w:t>
      </w:r>
      <w:r w:rsidR="003663F5" w:rsidRPr="00642F87">
        <w:rPr>
          <w:rFonts w:ascii="Times New Roman" w:hAnsi="Times New Roman" w:cs="Times New Roman"/>
          <w:b/>
          <w:bCs/>
          <w:sz w:val="22"/>
          <w:lang w:val="en-US"/>
        </w:rPr>
        <w:t>goal</w:t>
      </w:r>
      <w:r w:rsidR="003663F5" w:rsidRPr="00642F87">
        <w:rPr>
          <w:rFonts w:ascii="Times New Roman" w:hAnsi="Times New Roman" w:cs="Times New Roman"/>
          <w:bCs/>
          <w:sz w:val="22"/>
          <w:lang w:val="kk-KZ"/>
        </w:rPr>
        <w:t>) жақындаймыз</w:t>
      </w:r>
      <w:r w:rsidR="007A2D54" w:rsidRPr="00642F87">
        <w:rPr>
          <w:rFonts w:ascii="Times New Roman" w:hAnsi="Times New Roman" w:cs="Times New Roman"/>
          <w:bCs/>
          <w:sz w:val="22"/>
        </w:rPr>
        <w:t>.</w:t>
      </w:r>
    </w:p>
    <w:p w:rsidR="00E97FA6" w:rsidRPr="00642F87" w:rsidRDefault="007A2D54" w:rsidP="00E97FA6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highlight w:val="yellow"/>
        </w:rPr>
      </w:pPr>
      <w:r w:rsidRPr="00642F87">
        <w:rPr>
          <w:rFonts w:ascii="Times New Roman" w:hAnsi="Times New Roman" w:cs="Times New Roman"/>
          <w:bCs/>
          <w:sz w:val="22"/>
        </w:rPr>
        <w:t xml:space="preserve"> </w:t>
      </w:r>
      <w:r w:rsidR="00E97FA6" w:rsidRPr="00642F87">
        <w:rPr>
          <w:rFonts w:ascii="Times New Roman" w:hAnsi="Times New Roman" w:cs="Times New Roman"/>
          <w:bCs/>
          <w:sz w:val="22"/>
        </w:rPr>
        <w:t xml:space="preserve">Бұл логикалық </w:t>
      </w:r>
      <w:proofErr w:type="spellStart"/>
      <w:r w:rsidR="00E97FA6" w:rsidRPr="00642F87">
        <w:rPr>
          <w:rFonts w:ascii="Times New Roman" w:hAnsi="Times New Roman" w:cs="Times New Roman"/>
          <w:bCs/>
          <w:sz w:val="22"/>
        </w:rPr>
        <w:t>саты</w:t>
      </w:r>
      <w:proofErr w:type="spellEnd"/>
      <w:r w:rsidR="00E97FA6" w:rsidRPr="00642F87">
        <w:rPr>
          <w:rFonts w:ascii="Times New Roman" w:hAnsi="Times New Roman" w:cs="Times New Roman"/>
          <w:bCs/>
          <w:sz w:val="22"/>
        </w:rPr>
        <w:t xml:space="preserve"> жобаның барлық компоненттерінің </w:t>
      </w:r>
      <w:proofErr w:type="spellStart"/>
      <w:r w:rsidR="00E97FA6" w:rsidRPr="00642F87">
        <w:rPr>
          <w:rFonts w:ascii="Times New Roman" w:hAnsi="Times New Roman" w:cs="Times New Roman"/>
          <w:bCs/>
          <w:sz w:val="22"/>
        </w:rPr>
        <w:t>байланысын</w:t>
      </w:r>
      <w:proofErr w:type="spellEnd"/>
      <w:r w:rsidR="00E97FA6" w:rsidRPr="00642F87">
        <w:rPr>
          <w:rFonts w:ascii="Times New Roman" w:hAnsi="Times New Roman" w:cs="Times New Roman"/>
          <w:bCs/>
          <w:sz w:val="22"/>
        </w:rPr>
        <w:t xml:space="preserve"> қадағ</w:t>
      </w:r>
      <w:proofErr w:type="gramStart"/>
      <w:r w:rsidR="00E97FA6" w:rsidRPr="00642F87">
        <w:rPr>
          <w:rFonts w:ascii="Times New Roman" w:hAnsi="Times New Roman" w:cs="Times New Roman"/>
          <w:bCs/>
          <w:sz w:val="22"/>
        </w:rPr>
        <w:t>алау</w:t>
      </w:r>
      <w:proofErr w:type="gramEnd"/>
      <w:r w:rsidR="00E97FA6" w:rsidRPr="00642F87">
        <w:rPr>
          <w:rFonts w:ascii="Times New Roman" w:hAnsi="Times New Roman" w:cs="Times New Roman"/>
          <w:bCs/>
          <w:sz w:val="22"/>
        </w:rPr>
        <w:t xml:space="preserve">ға және оны бүтіндей көруге көмектеседі, </w:t>
      </w:r>
      <w:proofErr w:type="spellStart"/>
      <w:r w:rsidR="00E97FA6" w:rsidRPr="00642F87">
        <w:rPr>
          <w:rFonts w:ascii="Times New Roman" w:hAnsi="Times New Roman" w:cs="Times New Roman"/>
          <w:bCs/>
          <w:sz w:val="22"/>
        </w:rPr>
        <w:t>сонымен</w:t>
      </w:r>
      <w:proofErr w:type="spellEnd"/>
      <w:r w:rsidR="00E97FA6" w:rsidRPr="00642F87">
        <w:rPr>
          <w:rFonts w:ascii="Times New Roman" w:hAnsi="Times New Roman" w:cs="Times New Roman"/>
          <w:bCs/>
          <w:sz w:val="22"/>
        </w:rPr>
        <w:t xml:space="preserve"> қатар, жобаның логикалық матрицасының қалыптасуы үшін </w:t>
      </w:r>
      <w:proofErr w:type="spellStart"/>
      <w:r w:rsidR="00E97FA6" w:rsidRPr="00642F87">
        <w:rPr>
          <w:rFonts w:ascii="Times New Roman" w:hAnsi="Times New Roman" w:cs="Times New Roman"/>
          <w:bCs/>
          <w:sz w:val="22"/>
        </w:rPr>
        <w:t>негіз</w:t>
      </w:r>
      <w:proofErr w:type="spellEnd"/>
      <w:r w:rsidR="00E97FA6"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="00E97FA6" w:rsidRPr="00642F87">
        <w:rPr>
          <w:rFonts w:ascii="Times New Roman" w:hAnsi="Times New Roman" w:cs="Times New Roman"/>
          <w:bCs/>
          <w:sz w:val="22"/>
        </w:rPr>
        <w:t>болып</w:t>
      </w:r>
      <w:proofErr w:type="spellEnd"/>
      <w:r w:rsidR="00E97FA6"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="00E97FA6" w:rsidRPr="00642F87">
        <w:rPr>
          <w:rFonts w:ascii="Times New Roman" w:hAnsi="Times New Roman" w:cs="Times New Roman"/>
          <w:bCs/>
          <w:sz w:val="22"/>
        </w:rPr>
        <w:t>табылады</w:t>
      </w:r>
      <w:proofErr w:type="spellEnd"/>
      <w:r w:rsidR="00E97FA6" w:rsidRPr="00642F87">
        <w:rPr>
          <w:rFonts w:ascii="Times New Roman" w:hAnsi="Times New Roman" w:cs="Times New Roman"/>
          <w:bCs/>
          <w:sz w:val="22"/>
        </w:rPr>
        <w:t>.</w:t>
      </w:r>
    </w:p>
    <w:p w:rsidR="00E97FA6" w:rsidRPr="00642F87" w:rsidRDefault="0050142F" w:rsidP="0035457F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r w:rsidRPr="00642F87">
        <w:rPr>
          <w:rFonts w:ascii="Times New Roman" w:hAnsi="Times New Roman" w:cs="Times New Roman"/>
          <w:bCs/>
          <w:sz w:val="22"/>
        </w:rPr>
        <w:t>.</w:t>
      </w:r>
      <w:r w:rsidR="00E97FA6" w:rsidRPr="00642F87">
        <w:rPr>
          <w:rFonts w:ascii="Times New Roman" w:hAnsi="Times New Roman" w:cs="Times New Roman"/>
          <w:b/>
          <w:bCs/>
          <w:sz w:val="22"/>
        </w:rPr>
        <w:t>ЛОГИКАЛЫҚ СЫЗБАНҰСҚА</w:t>
      </w:r>
      <w:r w:rsidR="00E97FA6" w:rsidRPr="00642F87">
        <w:rPr>
          <w:rFonts w:ascii="Times New Roman" w:hAnsi="Times New Roman" w:cs="Times New Roman"/>
          <w:bCs/>
          <w:sz w:val="22"/>
        </w:rPr>
        <w:t xml:space="preserve"> – бұ</w:t>
      </w:r>
      <w:proofErr w:type="gramStart"/>
      <w:r w:rsidR="00E97FA6" w:rsidRPr="00642F87">
        <w:rPr>
          <w:rFonts w:ascii="Times New Roman" w:hAnsi="Times New Roman" w:cs="Times New Roman"/>
          <w:bCs/>
          <w:sz w:val="22"/>
        </w:rPr>
        <w:t>л</w:t>
      </w:r>
      <w:proofErr w:type="gramEnd"/>
      <w:r w:rsidR="00E97FA6" w:rsidRPr="00642F87">
        <w:rPr>
          <w:rFonts w:ascii="Times New Roman" w:hAnsi="Times New Roman" w:cs="Times New Roman"/>
          <w:bCs/>
          <w:sz w:val="22"/>
        </w:rPr>
        <w:t xml:space="preserve"> жобаның логикалық </w:t>
      </w:r>
      <w:proofErr w:type="spellStart"/>
      <w:r w:rsidR="00E97FA6" w:rsidRPr="00642F87">
        <w:rPr>
          <w:rFonts w:ascii="Times New Roman" w:hAnsi="Times New Roman" w:cs="Times New Roman"/>
          <w:bCs/>
          <w:sz w:val="22"/>
        </w:rPr>
        <w:t>сипаттамасы</w:t>
      </w:r>
      <w:proofErr w:type="spellEnd"/>
      <w:r w:rsidR="00E97FA6" w:rsidRPr="00642F87">
        <w:rPr>
          <w:rFonts w:ascii="Times New Roman" w:hAnsi="Times New Roman" w:cs="Times New Roman"/>
          <w:bCs/>
          <w:sz w:val="22"/>
        </w:rPr>
        <w:t>:</w:t>
      </w:r>
    </w:p>
    <w:p w:rsidR="00E97FA6" w:rsidRPr="00642F87" w:rsidRDefault="00E97FA6" w:rsidP="00E97FA6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bookmarkStart w:id="0" w:name="_GoBack"/>
      <w:bookmarkEnd w:id="0"/>
      <w:proofErr w:type="spellStart"/>
      <w:r w:rsidRPr="00642F87">
        <w:rPr>
          <w:rFonts w:ascii="Times New Roman" w:hAnsi="Times New Roman" w:cs="Times New Roman"/>
          <w:bCs/>
          <w:sz w:val="22"/>
        </w:rPr>
        <w:t>Біз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қандай өзгерістерге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жеткіміз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келеді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(үш деңгейлі нәтиже)</w:t>
      </w:r>
    </w:p>
    <w:p w:rsidR="00E97FA6" w:rsidRPr="00642F87" w:rsidRDefault="00E97FA6" w:rsidP="00E97FA6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proofErr w:type="spellStart"/>
      <w:proofErr w:type="gramStart"/>
      <w:r w:rsidRPr="00642F87">
        <w:rPr>
          <w:rFonts w:ascii="Times New Roman" w:hAnsi="Times New Roman" w:cs="Times New Roman"/>
          <w:bCs/>
          <w:sz w:val="22"/>
        </w:rPr>
        <w:t>Б</w:t>
      </w:r>
      <w:proofErr w:type="gramEnd"/>
      <w:r w:rsidRPr="00642F87">
        <w:rPr>
          <w:rFonts w:ascii="Times New Roman" w:hAnsi="Times New Roman" w:cs="Times New Roman"/>
          <w:bCs/>
          <w:sz w:val="22"/>
        </w:rPr>
        <w:t>із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оған қалай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жетеміз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(қызмет)</w:t>
      </w:r>
    </w:p>
    <w:p w:rsidR="00E97FA6" w:rsidRPr="00642F87" w:rsidRDefault="00E97FA6" w:rsidP="00E97FA6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proofErr w:type="spellStart"/>
      <w:r w:rsidRPr="00642F87">
        <w:rPr>
          <w:rFonts w:ascii="Times New Roman" w:hAnsi="Times New Roman" w:cs="Times New Roman"/>
          <w:bCs/>
          <w:sz w:val="22"/>
        </w:rPr>
        <w:t>Біз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өзгері</w:t>
      </w:r>
      <w:proofErr w:type="gramStart"/>
      <w:r w:rsidRPr="00642F87">
        <w:rPr>
          <w:rFonts w:ascii="Times New Roman" w:hAnsi="Times New Roman" w:cs="Times New Roman"/>
          <w:bCs/>
          <w:sz w:val="22"/>
        </w:rPr>
        <w:t>ст</w:t>
      </w:r>
      <w:proofErr w:type="gramEnd"/>
      <w:r w:rsidRPr="00642F87">
        <w:rPr>
          <w:rFonts w:ascii="Times New Roman" w:hAnsi="Times New Roman" w:cs="Times New Roman"/>
          <w:bCs/>
          <w:sz w:val="22"/>
        </w:rPr>
        <w:t>і қалай өлшейміз (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индикаторлар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>)</w:t>
      </w:r>
    </w:p>
    <w:p w:rsidR="00E97FA6" w:rsidRPr="00642F87" w:rsidRDefault="00E97FA6" w:rsidP="00E97FA6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r w:rsidRPr="00642F87">
        <w:rPr>
          <w:rFonts w:ascii="Times New Roman" w:hAnsi="Times New Roman" w:cs="Times New Roman"/>
          <w:bCs/>
          <w:sz w:val="22"/>
        </w:rPr>
        <w:t>Ақпаратты қ</w:t>
      </w:r>
      <w:proofErr w:type="gramStart"/>
      <w:r w:rsidRPr="00642F87">
        <w:rPr>
          <w:rFonts w:ascii="Times New Roman" w:hAnsi="Times New Roman" w:cs="Times New Roman"/>
          <w:bCs/>
          <w:sz w:val="22"/>
        </w:rPr>
        <w:t>айда</w:t>
      </w:r>
      <w:proofErr w:type="gramEnd"/>
      <w:r w:rsidRPr="00642F87">
        <w:rPr>
          <w:rFonts w:ascii="Times New Roman" w:hAnsi="Times New Roman" w:cs="Times New Roman"/>
          <w:bCs/>
          <w:sz w:val="22"/>
        </w:rPr>
        <w:t xml:space="preserve"> және қалай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жинаймыз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(анықтау құралы)</w:t>
      </w:r>
    </w:p>
    <w:p w:rsidR="00E97FA6" w:rsidRPr="00642F87" w:rsidRDefault="00E97FA6" w:rsidP="00E97FA6">
      <w:pPr>
        <w:pStyle w:val="a5"/>
        <w:widowControl w:val="0"/>
        <w:numPr>
          <w:ilvl w:val="0"/>
          <w:numId w:val="4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proofErr w:type="spellStart"/>
      <w:r w:rsidRPr="00642F87">
        <w:rPr>
          <w:rFonts w:ascii="Times New Roman" w:hAnsi="Times New Roman" w:cs="Times New Roman"/>
          <w:bCs/>
          <w:sz w:val="22"/>
        </w:rPr>
        <w:t>Нені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gramStart"/>
      <w:r w:rsidRPr="00642F87">
        <w:rPr>
          <w:rFonts w:ascii="Times New Roman" w:hAnsi="Times New Roman" w:cs="Times New Roman"/>
          <w:bCs/>
          <w:sz w:val="22"/>
        </w:rPr>
        <w:t>назар</w:t>
      </w:r>
      <w:proofErr w:type="gramEnd"/>
      <w:r w:rsidRPr="00642F87">
        <w:rPr>
          <w:rFonts w:ascii="Times New Roman" w:hAnsi="Times New Roman" w:cs="Times New Roman"/>
          <w:bCs/>
          <w:sz w:val="22"/>
        </w:rPr>
        <w:t xml:space="preserve">ға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алу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керек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(қателіктер/қатерлер)</w:t>
      </w:r>
    </w:p>
    <w:tbl>
      <w:tblPr>
        <w:tblStyle w:val="a6"/>
        <w:tblW w:w="0" w:type="auto"/>
        <w:tblLook w:val="04A0"/>
      </w:tblPr>
      <w:tblGrid>
        <w:gridCol w:w="3157"/>
        <w:gridCol w:w="1814"/>
        <w:gridCol w:w="1810"/>
        <w:gridCol w:w="2075"/>
      </w:tblGrid>
      <w:tr w:rsidR="00A302BD" w:rsidRPr="00642F87" w:rsidTr="00E97FA6">
        <w:tc>
          <w:tcPr>
            <w:tcW w:w="3157" w:type="dxa"/>
          </w:tcPr>
          <w:p w:rsidR="00E97FA6" w:rsidRPr="00642F87" w:rsidRDefault="00E97FA6" w:rsidP="00E97FA6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</w:p>
        </w:tc>
        <w:tc>
          <w:tcPr>
            <w:tcW w:w="1814" w:type="dxa"/>
          </w:tcPr>
          <w:p w:rsidR="00E97FA6" w:rsidRPr="00642F87" w:rsidRDefault="00E97FA6" w:rsidP="0035457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3"/>
              </w:rPr>
            </w:pPr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 xml:space="preserve">Жобаның қажетті </w:t>
            </w:r>
            <w:proofErr w:type="spellStart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жеті</w:t>
            </w:r>
            <w:proofErr w:type="gramStart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ст</w:t>
            </w:r>
            <w:proofErr w:type="gramEnd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іктері</w:t>
            </w:r>
            <w:proofErr w:type="spellEnd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 xml:space="preserve"> </w:t>
            </w:r>
          </w:p>
          <w:p w:rsidR="00E97FA6" w:rsidRPr="00642F87" w:rsidRDefault="00E97FA6" w:rsidP="0035457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3"/>
              </w:rPr>
            </w:pPr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(</w:t>
            </w:r>
            <w:proofErr w:type="spellStart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біз</w:t>
            </w:r>
            <w:proofErr w:type="spellEnd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 xml:space="preserve"> не </w:t>
            </w:r>
            <w:proofErr w:type="spellStart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істегі</w:t>
            </w:r>
            <w:proofErr w:type="gramStart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м</w:t>
            </w:r>
            <w:proofErr w:type="gramEnd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із</w:t>
            </w:r>
            <w:proofErr w:type="spellEnd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 xml:space="preserve"> </w:t>
            </w:r>
            <w:proofErr w:type="spellStart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келеді</w:t>
            </w:r>
            <w:proofErr w:type="spellEnd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 xml:space="preserve"> және неге </w:t>
            </w:r>
            <w:proofErr w:type="spellStart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жеткіміз</w:t>
            </w:r>
            <w:proofErr w:type="spellEnd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 xml:space="preserve"> </w:t>
            </w:r>
            <w:proofErr w:type="spellStart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келеді</w:t>
            </w:r>
            <w:proofErr w:type="spellEnd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 xml:space="preserve">) </w:t>
            </w:r>
          </w:p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810" w:type="dxa"/>
          </w:tcPr>
          <w:p w:rsidR="00E97FA6" w:rsidRPr="00642F87" w:rsidRDefault="00E97FA6" w:rsidP="0035457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3"/>
              </w:rPr>
            </w:pPr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 xml:space="preserve">Анықтау </w:t>
            </w:r>
            <w:r w:rsidR="00D30D32"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  <w:lang w:val="kk-KZ"/>
              </w:rPr>
              <w:t>көздері</w:t>
            </w:r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 xml:space="preserve"> </w:t>
            </w:r>
          </w:p>
          <w:p w:rsidR="00E97FA6" w:rsidRPr="00642F87" w:rsidRDefault="00E97FA6" w:rsidP="0035457F">
            <w:pPr>
              <w:pStyle w:val="Default"/>
              <w:jc w:val="both"/>
              <w:rPr>
                <w:rFonts w:ascii="Times New Roman" w:hAnsi="Times New Roman" w:cs="Times New Roman"/>
                <w:bCs/>
                <w:color w:val="auto"/>
                <w:sz w:val="22"/>
              </w:rPr>
            </w:pPr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(қайдан/қ</w:t>
            </w:r>
            <w:proofErr w:type="gramStart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ашан</w:t>
            </w:r>
            <w:proofErr w:type="gramEnd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 xml:space="preserve"> ақапарат </w:t>
            </w:r>
            <w:proofErr w:type="spellStart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алу</w:t>
            </w:r>
            <w:proofErr w:type="spellEnd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)</w:t>
            </w:r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  <w:lang w:val="kk-KZ"/>
              </w:rPr>
              <w:t xml:space="preserve"> </w:t>
            </w:r>
          </w:p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075" w:type="dxa"/>
          </w:tcPr>
          <w:p w:rsidR="00E97FA6" w:rsidRPr="00642F87" w:rsidRDefault="00E97FA6" w:rsidP="0035457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3"/>
              </w:rPr>
            </w:pPr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 xml:space="preserve">Қателер/қатерлер </w:t>
            </w:r>
          </w:p>
          <w:p w:rsidR="00E97FA6" w:rsidRPr="00642F87" w:rsidRDefault="00E97FA6" w:rsidP="0035457F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3"/>
              </w:rPr>
            </w:pPr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 xml:space="preserve">(тағы </w:t>
            </w:r>
            <w:proofErr w:type="spellStart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нені</w:t>
            </w:r>
            <w:proofErr w:type="spellEnd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 xml:space="preserve"> </w:t>
            </w:r>
            <w:proofErr w:type="spellStart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>ескеру</w:t>
            </w:r>
            <w:proofErr w:type="spellEnd"/>
            <w:r w:rsidRPr="00642F87">
              <w:rPr>
                <w:rFonts w:ascii="Times New Roman" w:hAnsi="Times New Roman" w:cs="Times New Roman"/>
                <w:bCs/>
                <w:color w:val="auto"/>
                <w:sz w:val="22"/>
                <w:szCs w:val="23"/>
              </w:rPr>
              <w:t xml:space="preserve"> қажет)</w:t>
            </w:r>
          </w:p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  <w:r w:rsidRPr="00642F87">
              <w:rPr>
                <w:rFonts w:ascii="Times New Roman" w:hAnsi="Times New Roman" w:cs="Times New Roman"/>
                <w:sz w:val="22"/>
                <w:szCs w:val="23"/>
              </w:rPr>
              <w:t xml:space="preserve"> </w:t>
            </w:r>
          </w:p>
        </w:tc>
      </w:tr>
      <w:tr w:rsidR="00A302BD" w:rsidRPr="00642F87" w:rsidTr="00E97FA6">
        <w:tc>
          <w:tcPr>
            <w:tcW w:w="3157" w:type="dxa"/>
          </w:tcPr>
          <w:p w:rsidR="00E97FA6" w:rsidRPr="00642F87" w:rsidRDefault="00E97FA6" w:rsidP="007A2D54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42F87">
              <w:rPr>
                <w:rFonts w:ascii="Times New Roman" w:hAnsi="Times New Roman" w:cs="Times New Roman"/>
                <w:b/>
                <w:bCs/>
                <w:sz w:val="22"/>
                <w:lang w:val="kk-KZ"/>
              </w:rPr>
              <w:t>Ықпал ету</w:t>
            </w:r>
            <w:r w:rsidRPr="00642F87">
              <w:rPr>
                <w:rFonts w:ascii="Times New Roman" w:hAnsi="Times New Roman" w:cs="Times New Roman"/>
                <w:b/>
                <w:bCs/>
                <w:sz w:val="22"/>
              </w:rPr>
              <w:t xml:space="preserve"> /</w:t>
            </w:r>
            <w:r w:rsidRPr="00642F87">
              <w:rPr>
                <w:rFonts w:ascii="Times New Roman" w:hAnsi="Times New Roman" w:cs="Times New Roman"/>
                <w:b/>
                <w:bCs/>
                <w:sz w:val="22"/>
                <w:lang w:val="kk-KZ"/>
              </w:rPr>
              <w:t>Ұзақ мерзімді нәтижелер</w:t>
            </w:r>
            <w:r w:rsidRPr="00642F87">
              <w:rPr>
                <w:rFonts w:ascii="Times New Roman" w:hAnsi="Times New Roman" w:cs="Times New Roman"/>
                <w:b/>
                <w:bCs/>
                <w:sz w:val="22"/>
              </w:rPr>
              <w:t>(</w:t>
            </w:r>
            <w:proofErr w:type="spellStart"/>
            <w:r w:rsidRPr="00642F87">
              <w:rPr>
                <w:rFonts w:ascii="Times New Roman" w:hAnsi="Times New Roman" w:cs="Times New Roman"/>
                <w:b/>
                <w:bCs/>
                <w:sz w:val="22"/>
              </w:rPr>
              <w:t>impact</w:t>
            </w:r>
            <w:proofErr w:type="spellEnd"/>
            <w:r w:rsidRPr="00642F87">
              <w:rPr>
                <w:rFonts w:ascii="Times New Roman" w:hAnsi="Times New Roman" w:cs="Times New Roman"/>
                <w:b/>
                <w:bCs/>
                <w:sz w:val="22"/>
              </w:rPr>
              <w:t>)</w:t>
            </w:r>
          </w:p>
        </w:tc>
        <w:tc>
          <w:tcPr>
            <w:tcW w:w="1814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810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075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</w:tr>
      <w:tr w:rsidR="00A302BD" w:rsidRPr="00642F87" w:rsidTr="00E97FA6">
        <w:tc>
          <w:tcPr>
            <w:tcW w:w="3157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42F87">
              <w:rPr>
                <w:rFonts w:ascii="Times New Roman" w:hAnsi="Times New Roman" w:cs="Times New Roman"/>
                <w:b/>
                <w:bCs/>
                <w:sz w:val="22"/>
                <w:lang w:val="kk-KZ"/>
              </w:rPr>
              <w:t>Соңғы нәтижелер</w:t>
            </w:r>
            <w:r w:rsidRPr="00642F87">
              <w:rPr>
                <w:rFonts w:ascii="Times New Roman" w:hAnsi="Times New Roman" w:cs="Times New Roman"/>
                <w:b/>
                <w:bCs/>
                <w:sz w:val="22"/>
              </w:rPr>
              <w:t xml:space="preserve"> (</w:t>
            </w:r>
            <w:proofErr w:type="spellStart"/>
            <w:r w:rsidRPr="00642F87">
              <w:rPr>
                <w:rFonts w:ascii="Times New Roman" w:hAnsi="Times New Roman" w:cs="Times New Roman"/>
                <w:b/>
                <w:bCs/>
                <w:sz w:val="22"/>
              </w:rPr>
              <w:t>outcome</w:t>
            </w:r>
            <w:proofErr w:type="spellEnd"/>
            <w:r w:rsidRPr="00642F87">
              <w:rPr>
                <w:rFonts w:ascii="Times New Roman" w:hAnsi="Times New Roman" w:cs="Times New Roman"/>
                <w:b/>
                <w:bCs/>
                <w:sz w:val="22"/>
              </w:rPr>
              <w:t>)</w:t>
            </w:r>
          </w:p>
        </w:tc>
        <w:tc>
          <w:tcPr>
            <w:tcW w:w="1814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810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075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</w:tr>
      <w:tr w:rsidR="00A302BD" w:rsidRPr="00642F87" w:rsidTr="00E97FA6">
        <w:tc>
          <w:tcPr>
            <w:tcW w:w="3157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42F87">
              <w:rPr>
                <w:rFonts w:ascii="Times New Roman" w:hAnsi="Times New Roman" w:cs="Times New Roman"/>
                <w:b/>
                <w:bCs/>
                <w:sz w:val="22"/>
                <w:lang w:val="kk-KZ"/>
              </w:rPr>
              <w:t>Аралық нәтижелер</w:t>
            </w:r>
            <w:r w:rsidRPr="00642F87">
              <w:rPr>
                <w:rFonts w:ascii="Times New Roman" w:hAnsi="Times New Roman" w:cs="Times New Roman"/>
                <w:b/>
                <w:bCs/>
                <w:sz w:val="22"/>
              </w:rPr>
              <w:t xml:space="preserve"> (</w:t>
            </w:r>
            <w:proofErr w:type="spellStart"/>
            <w:r w:rsidRPr="00642F87">
              <w:rPr>
                <w:rFonts w:ascii="Times New Roman" w:hAnsi="Times New Roman" w:cs="Times New Roman"/>
                <w:b/>
                <w:bCs/>
                <w:sz w:val="22"/>
              </w:rPr>
              <w:t>output</w:t>
            </w:r>
            <w:proofErr w:type="spellEnd"/>
            <w:r w:rsidRPr="00642F87">
              <w:rPr>
                <w:rFonts w:ascii="Times New Roman" w:hAnsi="Times New Roman" w:cs="Times New Roman"/>
                <w:b/>
                <w:bCs/>
                <w:sz w:val="22"/>
              </w:rPr>
              <w:t>)</w:t>
            </w:r>
          </w:p>
        </w:tc>
        <w:tc>
          <w:tcPr>
            <w:tcW w:w="1814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810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075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</w:tr>
      <w:tr w:rsidR="00A302BD" w:rsidRPr="00642F87" w:rsidTr="00E97FA6">
        <w:tc>
          <w:tcPr>
            <w:tcW w:w="3157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642F87">
              <w:rPr>
                <w:rFonts w:ascii="Times New Roman" w:hAnsi="Times New Roman" w:cs="Times New Roman"/>
                <w:b/>
                <w:bCs/>
                <w:sz w:val="22"/>
                <w:lang w:val="kk-KZ"/>
              </w:rPr>
              <w:t>Қызмет</w:t>
            </w:r>
            <w:r w:rsidRPr="00642F87">
              <w:rPr>
                <w:rFonts w:ascii="Times New Roman" w:hAnsi="Times New Roman" w:cs="Times New Roman"/>
                <w:b/>
                <w:bCs/>
                <w:sz w:val="22"/>
              </w:rPr>
              <w:t xml:space="preserve"> (</w:t>
            </w:r>
            <w:proofErr w:type="spellStart"/>
            <w:r w:rsidRPr="00642F87">
              <w:rPr>
                <w:rFonts w:ascii="Times New Roman" w:hAnsi="Times New Roman" w:cs="Times New Roman"/>
                <w:b/>
                <w:bCs/>
                <w:sz w:val="22"/>
              </w:rPr>
              <w:t>activities</w:t>
            </w:r>
            <w:proofErr w:type="spellEnd"/>
            <w:r w:rsidRPr="00642F87">
              <w:rPr>
                <w:rFonts w:ascii="Times New Roman" w:hAnsi="Times New Roman" w:cs="Times New Roman"/>
                <w:b/>
                <w:bCs/>
                <w:sz w:val="22"/>
              </w:rPr>
              <w:t>)</w:t>
            </w:r>
          </w:p>
        </w:tc>
        <w:tc>
          <w:tcPr>
            <w:tcW w:w="1814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810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2075" w:type="dxa"/>
          </w:tcPr>
          <w:p w:rsidR="00E97FA6" w:rsidRPr="00642F87" w:rsidRDefault="00E97FA6" w:rsidP="0050142F">
            <w:pPr>
              <w:widowControl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bCs/>
                <w:sz w:val="22"/>
              </w:rPr>
            </w:pPr>
          </w:p>
        </w:tc>
      </w:tr>
    </w:tbl>
    <w:p w:rsidR="0050142F" w:rsidRPr="00642F87" w:rsidRDefault="0050142F" w:rsidP="0050142F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</w:p>
    <w:p w:rsidR="0050142F" w:rsidRPr="00642F87" w:rsidRDefault="00E97FA6" w:rsidP="0050142F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proofErr w:type="spellStart"/>
      <w:r w:rsidRPr="00642F87">
        <w:rPr>
          <w:rFonts w:ascii="Times New Roman" w:hAnsi="Times New Roman" w:cs="Times New Roman"/>
          <w:bCs/>
          <w:sz w:val="22"/>
        </w:rPr>
        <w:t>Кез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>-</w:t>
      </w:r>
      <w:r w:rsidRPr="00642F87">
        <w:rPr>
          <w:rFonts w:ascii="Times New Roman" w:hAnsi="Times New Roman" w:cs="Times New Roman"/>
          <w:bCs/>
          <w:sz w:val="22"/>
          <w:lang w:val="kk-KZ"/>
        </w:rPr>
        <w:t>келген жоба өзгертуге немесе мақсатты топ ішінде өзгері</w:t>
      </w:r>
      <w:proofErr w:type="gramStart"/>
      <w:r w:rsidRPr="00642F87">
        <w:rPr>
          <w:rFonts w:ascii="Times New Roman" w:hAnsi="Times New Roman" w:cs="Times New Roman"/>
          <w:bCs/>
          <w:sz w:val="22"/>
          <w:lang w:val="kk-KZ"/>
        </w:rPr>
        <w:t>ст</w:t>
      </w:r>
      <w:proofErr w:type="gramEnd"/>
      <w:r w:rsidRPr="00642F87">
        <w:rPr>
          <w:rFonts w:ascii="Times New Roman" w:hAnsi="Times New Roman" w:cs="Times New Roman"/>
          <w:bCs/>
          <w:sz w:val="22"/>
          <w:lang w:val="kk-KZ"/>
        </w:rPr>
        <w:t xml:space="preserve">ің болуына бағытталған. Сондықтан  ойластырылған қадамдардың тиімділігі бойынша осы логикалық саты бойынша алға жылжу туралы ақапарат алу үшін біз көмекке мониторинг және бағалауды </w:t>
      </w:r>
      <w:r w:rsidRPr="00642F87">
        <w:rPr>
          <w:rFonts w:ascii="Times New Roman" w:hAnsi="Times New Roman" w:cs="Times New Roman"/>
          <w:bCs/>
          <w:sz w:val="22"/>
          <w:lang w:val="kk-KZ"/>
        </w:rPr>
        <w:lastRenderedPageBreak/>
        <w:t>шақырамыз. Ол басқару шешімдерін қабылдау үшін қажетті бағдарлама барысы және нәтижесі туралы ақпарат алуға көмектеседі</w:t>
      </w:r>
      <w:r w:rsidR="0050142F" w:rsidRPr="00642F87">
        <w:rPr>
          <w:rFonts w:ascii="Times New Roman" w:hAnsi="Times New Roman" w:cs="Times New Roman"/>
          <w:bCs/>
          <w:sz w:val="22"/>
          <w:lang w:val="kk-KZ"/>
        </w:rPr>
        <w:t>.</w:t>
      </w:r>
    </w:p>
    <w:p w:rsidR="00E97FA6" w:rsidRPr="00642F87" w:rsidRDefault="00E97FA6" w:rsidP="00E97FA6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  <w:bCs/>
          <w:sz w:val="22"/>
          <w:lang w:val="kk-KZ"/>
        </w:rPr>
      </w:pPr>
      <w:r w:rsidRPr="00642F87">
        <w:rPr>
          <w:rFonts w:ascii="Times New Roman" w:hAnsi="Times New Roman" w:cs="Times New Roman"/>
          <w:b/>
          <w:bCs/>
          <w:sz w:val="22"/>
          <w:lang w:val="kk-KZ"/>
        </w:rPr>
        <w:t>МОНИТОРИНГ ЖӘНЕ БАҒАЛАУ ЖҮЙЕСІ.</w:t>
      </w:r>
    </w:p>
    <w:p w:rsidR="00E97FA6" w:rsidRPr="00642F87" w:rsidRDefault="00E97FA6" w:rsidP="00E97FA6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r w:rsidRPr="00642F87">
        <w:rPr>
          <w:rFonts w:ascii="Times New Roman" w:hAnsi="Times New Roman" w:cs="Times New Roman"/>
          <w:bCs/>
          <w:sz w:val="22"/>
          <w:lang w:val="kk-KZ"/>
        </w:rPr>
        <w:t xml:space="preserve">Мониторинг және бағалау жүйесі (ары қарай МиО жүйесі) шешім қабылдайтын тұлғалар жоба барысы және нәтижелері бойынша қажетті ақпаратты алуға мүмкіндігі болу үшін жасалынады.   Бұл әртүрлі деңгейдегі аудитория – жоба үйлестірушісі, ұйым жетекшісі және донорлар немесе серіктестердің өкілдері болуы мүмкін. Соларға келетін ақпарат қабылдауға ыңғайлы форматта болуы тиіс. </w:t>
      </w:r>
    </w:p>
    <w:p w:rsidR="00E97FA6" w:rsidRPr="00642F87" w:rsidRDefault="00E97FA6" w:rsidP="00E97FA6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r w:rsidRPr="00642F87">
        <w:rPr>
          <w:rFonts w:ascii="Times New Roman" w:hAnsi="Times New Roman" w:cs="Times New Roman"/>
          <w:bCs/>
          <w:sz w:val="22"/>
          <w:lang w:val="kk-KZ"/>
        </w:rPr>
        <w:t>Жобаның мониторинг және бағалауын жоспарлау кезінде келесі сәттерді ескеру керек:</w:t>
      </w:r>
    </w:p>
    <w:p w:rsidR="00E97FA6" w:rsidRPr="00642F87" w:rsidRDefault="00E97FA6" w:rsidP="00E97FA6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r w:rsidRPr="00642F87">
        <w:rPr>
          <w:rFonts w:ascii="Times New Roman" w:hAnsi="Times New Roman" w:cs="Times New Roman"/>
          <w:bCs/>
          <w:sz w:val="22"/>
          <w:lang w:val="kk-KZ"/>
        </w:rPr>
        <w:t xml:space="preserve">Біз нені қадағалап, мониторинг жасайтынымызды анықтау. Бұл біз бағалауды кім үшін жүргізетінімізге байланысты. Стейкхолдерлер өздерінің қызығушылықтары мен басымдықтарына қарай бағалаудың түрлі нәтижелеріне мүдделі. Мысалы, жергілікті өзін-өзі басқару органдары аймақтың әлеуметтік-экономикалық даму стратегиясының мақсатына жетуді басымдыққа алуы мүмкін.  Ал шағын ауылдың әйелдері нәтижесінде өздерінің күнделікті өмірлері жақсарса, өздерінің жобасын сәтті  болды деп айта алады </w:t>
      </w:r>
    </w:p>
    <w:p w:rsidR="00E97FA6" w:rsidRPr="00642F87" w:rsidRDefault="00E97FA6" w:rsidP="00E97FA6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r w:rsidRPr="00642F87">
        <w:rPr>
          <w:rFonts w:ascii="Times New Roman" w:hAnsi="Times New Roman" w:cs="Times New Roman"/>
          <w:bCs/>
          <w:sz w:val="22"/>
          <w:lang w:val="kk-KZ"/>
        </w:rPr>
        <w:t xml:space="preserve">Жоба барысы қадағаланып отыратын индикаторларды анықтау.  </w:t>
      </w:r>
    </w:p>
    <w:p w:rsidR="00E97FA6" w:rsidRPr="00642F87" w:rsidRDefault="00E97FA6" w:rsidP="00E97FA6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r w:rsidRPr="00642F87">
        <w:rPr>
          <w:rFonts w:ascii="Times New Roman" w:hAnsi="Times New Roman" w:cs="Times New Roman"/>
          <w:bCs/>
          <w:sz w:val="22"/>
          <w:lang w:val="kk-KZ"/>
        </w:rPr>
        <w:t>Мониторинг жүргізу үшін ақпарат көзін анықтау. Ақпарат көзі болуы мүмкін: бенефициарлар, жоба қызметкерлері, серіктестердің өкілдері, құжаттар.</w:t>
      </w:r>
    </w:p>
    <w:p w:rsidR="00E97FA6" w:rsidRPr="00642F87" w:rsidRDefault="00E97FA6" w:rsidP="00E97FA6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r w:rsidRPr="00642F87">
        <w:rPr>
          <w:rFonts w:ascii="Times New Roman" w:hAnsi="Times New Roman" w:cs="Times New Roman"/>
          <w:bCs/>
          <w:sz w:val="22"/>
          <w:lang w:val="kk-KZ"/>
        </w:rPr>
        <w:t>Ақпарат жинау тәсілін таңдау және бізде қандай ресурстар бар екенін анықтау (уақыт, қаржы, адами)</w:t>
      </w:r>
    </w:p>
    <w:p w:rsidR="00E97FA6" w:rsidRPr="00642F87" w:rsidRDefault="00E97FA6" w:rsidP="00E97FA6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r w:rsidRPr="00642F87">
        <w:rPr>
          <w:rFonts w:ascii="Times New Roman" w:hAnsi="Times New Roman" w:cs="Times New Roman"/>
          <w:bCs/>
          <w:sz w:val="22"/>
          <w:lang w:val="kk-KZ"/>
        </w:rPr>
        <w:t xml:space="preserve">Ақпарат жинау кестесін және жиілігін анықтау. </w:t>
      </w:r>
    </w:p>
    <w:p w:rsidR="00E97FA6" w:rsidRPr="00642F87" w:rsidRDefault="00E97FA6" w:rsidP="00E97FA6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r w:rsidRPr="00642F87">
        <w:rPr>
          <w:rFonts w:ascii="Times New Roman" w:hAnsi="Times New Roman" w:cs="Times New Roman"/>
          <w:bCs/>
          <w:sz w:val="22"/>
          <w:lang w:val="kk-KZ"/>
        </w:rPr>
        <w:t xml:space="preserve">Қажетті ақпаратты алуға жауаптыны тағайындау және сол ақпаратты беретіндермен келісу. </w:t>
      </w:r>
    </w:p>
    <w:p w:rsidR="00E97FA6" w:rsidRPr="00642F87" w:rsidRDefault="00E97FA6" w:rsidP="00E97FA6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r w:rsidRPr="00642F87">
        <w:rPr>
          <w:rFonts w:ascii="Times New Roman" w:hAnsi="Times New Roman" w:cs="Times New Roman"/>
          <w:bCs/>
          <w:sz w:val="22"/>
          <w:lang w:val="kk-KZ"/>
        </w:rPr>
        <w:t>Ақпараттың барлық кезеңі басынан есепке дейін бір құжатта көрсетіледі және кез келген маманға түсінікті болу керек. Онда формаларды толтыратын, өңдейтін, талдау жасайтын жауапты мамандар және құжаттар сақталатын орын көрсетілуі мүмкін.</w:t>
      </w:r>
    </w:p>
    <w:p w:rsidR="00E97FA6" w:rsidRPr="00642F87" w:rsidRDefault="00E97FA6" w:rsidP="00E97FA6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r w:rsidRPr="00642F87">
        <w:rPr>
          <w:rFonts w:ascii="Times New Roman" w:hAnsi="Times New Roman" w:cs="Times New Roman"/>
          <w:bCs/>
          <w:sz w:val="22"/>
          <w:lang w:val="kk-KZ"/>
        </w:rPr>
        <w:t xml:space="preserve">Өңдеу технологиясын, алынған ақпаратты сақтайтын және талдайтын және осы процеске жауаптыларды анықтау. </w:t>
      </w:r>
    </w:p>
    <w:p w:rsidR="007A2D54" w:rsidRPr="00642F87" w:rsidRDefault="00E97FA6" w:rsidP="00E97FA6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r w:rsidRPr="00642F87">
        <w:rPr>
          <w:rFonts w:ascii="Times New Roman" w:hAnsi="Times New Roman" w:cs="Times New Roman"/>
          <w:bCs/>
          <w:sz w:val="22"/>
          <w:lang w:val="kk-KZ"/>
        </w:rPr>
        <w:t>Мониторинг ақпараты (берілгендер) қалай және кімге берілетінін, сондай-ақ, оны кім және қалай пайдаланатындығын жоспарлау. Қандай ақпаратты, қандай түрде, қаншалықты жиі және кімге көрсету керектігін анықтау қажет.</w:t>
      </w:r>
    </w:p>
    <w:p w:rsidR="005A7D9B" w:rsidRPr="00642F87" w:rsidRDefault="007A2D54" w:rsidP="005A7D9B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r w:rsidRPr="00642F87">
        <w:rPr>
          <w:rFonts w:ascii="Times New Roman" w:hAnsi="Times New Roman" w:cs="Times New Roman"/>
          <w:bCs/>
          <w:sz w:val="22"/>
          <w:lang w:val="kk-KZ"/>
        </w:rPr>
        <w:t xml:space="preserve"> </w:t>
      </w:r>
      <w:r w:rsidR="005A7D9B" w:rsidRPr="00642F87">
        <w:rPr>
          <w:rFonts w:ascii="Times New Roman" w:hAnsi="Times New Roman" w:cs="Times New Roman"/>
          <w:bCs/>
          <w:sz w:val="22"/>
          <w:lang w:val="kk-KZ"/>
        </w:rPr>
        <w:t>Мониторинг және бағалау барысында жиналған ақпаратты пайдалануға болады:</w:t>
      </w:r>
    </w:p>
    <w:p w:rsidR="005A7D9B" w:rsidRPr="00642F87" w:rsidRDefault="005A7D9B" w:rsidP="005A7D9B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r w:rsidRPr="00642F87">
        <w:rPr>
          <w:rFonts w:ascii="Times New Roman" w:hAnsi="Times New Roman" w:cs="Times New Roman"/>
          <w:bCs/>
          <w:sz w:val="22"/>
          <w:lang w:val="kk-KZ"/>
        </w:rPr>
        <w:t>-менеджерлік шешім қабылдау (мамандар арасында жүктемені қайта бөлу, еріктілермен әдістемелік жұмысты нығайту, жарнама стратегиясын өзгерту және т.б.),</w:t>
      </w:r>
    </w:p>
    <w:p w:rsidR="005A7D9B" w:rsidRPr="00642F87" w:rsidRDefault="005A7D9B" w:rsidP="005A7D9B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r w:rsidRPr="00642F87">
        <w:rPr>
          <w:rFonts w:ascii="Times New Roman" w:hAnsi="Times New Roman" w:cs="Times New Roman"/>
          <w:bCs/>
          <w:sz w:val="22"/>
          <w:lang w:val="kk-KZ"/>
        </w:rPr>
        <w:t xml:space="preserve"> </w:t>
      </w:r>
      <w:r w:rsidRPr="00642F87">
        <w:rPr>
          <w:rFonts w:ascii="Times New Roman" w:hAnsi="Times New Roman" w:cs="Times New Roman"/>
          <w:bCs/>
          <w:sz w:val="22"/>
        </w:rPr>
        <w:t>-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серіктестерге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жоба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жеті</w:t>
      </w:r>
      <w:proofErr w:type="gramStart"/>
      <w:r w:rsidRPr="00642F87">
        <w:rPr>
          <w:rFonts w:ascii="Times New Roman" w:hAnsi="Times New Roman" w:cs="Times New Roman"/>
          <w:bCs/>
          <w:sz w:val="22"/>
        </w:rPr>
        <w:t>ст</w:t>
      </w:r>
      <w:proofErr w:type="gramEnd"/>
      <w:r w:rsidRPr="00642F87">
        <w:rPr>
          <w:rFonts w:ascii="Times New Roman" w:hAnsi="Times New Roman" w:cs="Times New Roman"/>
          <w:bCs/>
          <w:sz w:val="22"/>
        </w:rPr>
        <w:t>іктерін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көрсету (презентация,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есеп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>),</w:t>
      </w:r>
    </w:p>
    <w:p w:rsidR="005A7D9B" w:rsidRPr="00642F87" w:rsidRDefault="005A7D9B" w:rsidP="005A7D9B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r w:rsidRPr="00642F87">
        <w:rPr>
          <w:rFonts w:ascii="Times New Roman" w:hAnsi="Times New Roman" w:cs="Times New Roman"/>
          <w:bCs/>
          <w:sz w:val="22"/>
        </w:rPr>
        <w:t xml:space="preserve"> -ұйымды алға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тарту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үшін, атағын шығару үшін бағалау нәтижелерін, әсіресе, жарқын «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жеті</w:t>
      </w:r>
      <w:proofErr w:type="gramStart"/>
      <w:r w:rsidRPr="00642F87">
        <w:rPr>
          <w:rFonts w:ascii="Times New Roman" w:hAnsi="Times New Roman" w:cs="Times New Roman"/>
          <w:bCs/>
          <w:sz w:val="22"/>
        </w:rPr>
        <w:t>ст</w:t>
      </w:r>
      <w:proofErr w:type="gramEnd"/>
      <w:r w:rsidRPr="00642F87">
        <w:rPr>
          <w:rFonts w:ascii="Times New Roman" w:hAnsi="Times New Roman" w:cs="Times New Roman"/>
          <w:bCs/>
          <w:sz w:val="22"/>
        </w:rPr>
        <w:t>іктер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тарихын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» пайдалануға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болады</w:t>
      </w:r>
      <w:proofErr w:type="spellEnd"/>
    </w:p>
    <w:p w:rsidR="005A7D9B" w:rsidRPr="00642F87" w:rsidRDefault="005A7D9B" w:rsidP="005A7D9B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r w:rsidRPr="00642F87">
        <w:rPr>
          <w:rFonts w:ascii="Times New Roman" w:hAnsi="Times New Roman" w:cs="Times New Roman"/>
          <w:bCs/>
          <w:sz w:val="22"/>
        </w:rPr>
        <w:t xml:space="preserve"> -</w:t>
      </w:r>
      <w:proofErr w:type="gramStart"/>
      <w:r w:rsidRPr="00642F87">
        <w:rPr>
          <w:rFonts w:ascii="Times New Roman" w:hAnsi="Times New Roman" w:cs="Times New Roman"/>
          <w:bCs/>
          <w:sz w:val="22"/>
        </w:rPr>
        <w:t>жоба</w:t>
      </w:r>
      <w:proofErr w:type="gramEnd"/>
      <w:r w:rsidRPr="00642F87">
        <w:rPr>
          <w:rFonts w:ascii="Times New Roman" w:hAnsi="Times New Roman" w:cs="Times New Roman"/>
          <w:bCs/>
          <w:sz w:val="22"/>
        </w:rPr>
        <w:t xml:space="preserve">ға қатысы бар әлеуметтік жағдайдың жарқын өзгерістерін жылдық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есепке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кіргізуге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болады</w:t>
      </w:r>
      <w:proofErr w:type="spellEnd"/>
    </w:p>
    <w:p w:rsidR="005A7D9B" w:rsidRPr="00642F87" w:rsidRDefault="005A7D9B" w:rsidP="005A7D9B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r w:rsidRPr="00642F87">
        <w:rPr>
          <w:rFonts w:ascii="Times New Roman" w:hAnsi="Times New Roman" w:cs="Times New Roman"/>
          <w:bCs/>
          <w:sz w:val="22"/>
        </w:rPr>
        <w:lastRenderedPageBreak/>
        <w:t xml:space="preserve">- қосымша қаражат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тарту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(</w:t>
      </w:r>
      <w:proofErr w:type="gramStart"/>
      <w:r w:rsidRPr="00642F87">
        <w:rPr>
          <w:rFonts w:ascii="Times New Roman" w:hAnsi="Times New Roman" w:cs="Times New Roman"/>
          <w:bCs/>
          <w:sz w:val="22"/>
        </w:rPr>
        <w:t>грант</w:t>
      </w:r>
      <w:proofErr w:type="gramEnd"/>
      <w:r w:rsidRPr="00642F87">
        <w:rPr>
          <w:rFonts w:ascii="Times New Roman" w:hAnsi="Times New Roman" w:cs="Times New Roman"/>
          <w:bCs/>
          <w:sz w:val="22"/>
        </w:rPr>
        <w:t xml:space="preserve">қа өтінім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жазу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кезінде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, қаражат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жинау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>),</w:t>
      </w:r>
    </w:p>
    <w:p w:rsidR="005A7D9B" w:rsidRPr="00642F87" w:rsidRDefault="005A7D9B" w:rsidP="005A7D9B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r w:rsidRPr="00642F87">
        <w:rPr>
          <w:rFonts w:ascii="Times New Roman" w:hAnsi="Times New Roman" w:cs="Times New Roman"/>
          <w:bCs/>
          <w:sz w:val="22"/>
        </w:rPr>
        <w:t>-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донорлар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алдында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есептілік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>.</w:t>
      </w:r>
    </w:p>
    <w:p w:rsidR="00FF7581" w:rsidRPr="00642F87" w:rsidRDefault="00FF7581" w:rsidP="00FF7581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  <w:bCs/>
          <w:sz w:val="22"/>
        </w:rPr>
      </w:pPr>
      <w:r w:rsidRPr="00642F87">
        <w:rPr>
          <w:rFonts w:ascii="Times New Roman" w:hAnsi="Times New Roman" w:cs="Times New Roman"/>
          <w:b/>
          <w:bCs/>
          <w:sz w:val="22"/>
        </w:rPr>
        <w:t>ЖОБАНЫ МОНИТОРИНГ ЖӘНЕ БАҒАЛАУ ЖОСПАРЫ.</w:t>
      </w:r>
    </w:p>
    <w:p w:rsidR="00FF7581" w:rsidRPr="00642F87" w:rsidRDefault="00FF7581" w:rsidP="00FF7581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</w:rPr>
      </w:pPr>
      <w:r w:rsidRPr="00642F87">
        <w:rPr>
          <w:rFonts w:ascii="Times New Roman" w:hAnsi="Times New Roman" w:cs="Times New Roman"/>
          <w:bCs/>
          <w:sz w:val="22"/>
        </w:rPr>
        <w:t xml:space="preserve">Мониторинг және бағалау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жоспары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– бұ</w:t>
      </w:r>
      <w:proofErr w:type="gramStart"/>
      <w:r w:rsidRPr="00642F87">
        <w:rPr>
          <w:rFonts w:ascii="Times New Roman" w:hAnsi="Times New Roman" w:cs="Times New Roman"/>
          <w:bCs/>
          <w:sz w:val="22"/>
        </w:rPr>
        <w:t>л</w:t>
      </w:r>
      <w:proofErr w:type="gramEnd"/>
      <w:r w:rsidRPr="00642F87">
        <w:rPr>
          <w:rFonts w:ascii="Times New Roman" w:hAnsi="Times New Roman" w:cs="Times New Roman"/>
          <w:bCs/>
          <w:sz w:val="22"/>
        </w:rPr>
        <w:t xml:space="preserve"> жобаның мониторинг және бағалау жүйесін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ашып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көрсететін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негізгі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құжат.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Ол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жобаның логикалық сызбанұсқасына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негізделетін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кестеден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тұрады. Мониторинг және бағалау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жоспарында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индикаторлар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(өлшемдер)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бойынша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негі</w:t>
      </w:r>
      <w:proofErr w:type="gramStart"/>
      <w:r w:rsidRPr="00642F87">
        <w:rPr>
          <w:rFonts w:ascii="Times New Roman" w:hAnsi="Times New Roman" w:cs="Times New Roman"/>
          <w:bCs/>
          <w:sz w:val="22"/>
        </w:rPr>
        <w:t>зг</w:t>
      </w:r>
      <w:proofErr w:type="gramEnd"/>
      <w:r w:rsidRPr="00642F87">
        <w:rPr>
          <w:rFonts w:ascii="Times New Roman" w:hAnsi="Times New Roman" w:cs="Times New Roman"/>
          <w:bCs/>
          <w:sz w:val="22"/>
        </w:rPr>
        <w:t>і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ақпараттар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жалпылама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беріледі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.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Онда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жоба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берілгендері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туралы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ақпараттарды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тарату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үшін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келесі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мәліметтер көрсетіледі: индикатордың нақты анықтамасы,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дерек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көздері,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берілгендерді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жинау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тәсілдері және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мерзімдері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,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жауапты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тұлғалар және мақсатты аудитория,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сондай-а</w:t>
      </w:r>
      <w:proofErr w:type="spellEnd"/>
      <w:r w:rsidRPr="00642F87">
        <w:rPr>
          <w:rFonts w:ascii="Times New Roman" w:hAnsi="Times New Roman" w:cs="Times New Roman"/>
          <w:bCs/>
          <w:sz w:val="22"/>
          <w:lang w:val="kk-KZ"/>
        </w:rPr>
        <w:t xml:space="preserve">қ, </w:t>
      </w:r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берілгендерді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пайдаланатын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саласы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>.</w:t>
      </w:r>
    </w:p>
    <w:p w:rsidR="00FF7581" w:rsidRPr="00642F87" w:rsidRDefault="00FF7581" w:rsidP="00FF7581">
      <w:pPr>
        <w:widowControl w:val="0"/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Cs/>
          <w:sz w:val="22"/>
          <w:lang w:val="kk-KZ"/>
        </w:rPr>
      </w:pPr>
      <w:r w:rsidRPr="00642F87">
        <w:rPr>
          <w:rFonts w:ascii="Times New Roman" w:hAnsi="Times New Roman" w:cs="Times New Roman"/>
          <w:bCs/>
          <w:sz w:val="22"/>
        </w:rPr>
        <w:t xml:space="preserve">Жобаның мониторинг және бағалау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жоспары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жобаны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жүзеге асыруға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дейін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,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жоспарлау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кезеңінде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жасалынуы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</w:t>
      </w:r>
      <w:proofErr w:type="spellStart"/>
      <w:proofErr w:type="gramStart"/>
      <w:r w:rsidRPr="00642F87">
        <w:rPr>
          <w:rFonts w:ascii="Times New Roman" w:hAnsi="Times New Roman" w:cs="Times New Roman"/>
          <w:bCs/>
          <w:sz w:val="22"/>
        </w:rPr>
        <w:t>тиіс</w:t>
      </w:r>
      <w:proofErr w:type="spellEnd"/>
      <w:proofErr w:type="gramEnd"/>
      <w:r w:rsidRPr="00642F87">
        <w:rPr>
          <w:rFonts w:ascii="Times New Roman" w:hAnsi="Times New Roman" w:cs="Times New Roman"/>
          <w:bCs/>
          <w:sz w:val="22"/>
        </w:rPr>
        <w:t xml:space="preserve">. Бұл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жоба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қызметкерлеріне жобаның логикалық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матрицасымен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салыстыруға және жобаның мақсатына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жету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үшін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жоба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шеңберінде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орындайтын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қызмет түрлері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щынайы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және қисынды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екеніне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көз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жеткізуге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мүмкіндік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береді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.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Содан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басқа, мониторинг және бағалау </w:t>
      </w:r>
      <w:proofErr w:type="spellStart"/>
      <w:proofErr w:type="gramStart"/>
      <w:r w:rsidRPr="00642F87">
        <w:rPr>
          <w:rFonts w:ascii="Times New Roman" w:hAnsi="Times New Roman" w:cs="Times New Roman"/>
          <w:bCs/>
          <w:sz w:val="22"/>
        </w:rPr>
        <w:t>жоспары</w:t>
      </w:r>
      <w:proofErr w:type="spellEnd"/>
      <w:proofErr w:type="gramEnd"/>
      <w:r w:rsidRPr="00642F87">
        <w:rPr>
          <w:rFonts w:ascii="Times New Roman" w:hAnsi="Times New Roman" w:cs="Times New Roman"/>
          <w:bCs/>
          <w:sz w:val="22"/>
        </w:rPr>
        <w:t xml:space="preserve"> ақпаратты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жинау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және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талдау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қызметін жоспарлауға, жобаның мониторинг мәселелерін </w:t>
      </w:r>
      <w:proofErr w:type="spellStart"/>
      <w:r w:rsidRPr="00642F87">
        <w:rPr>
          <w:rFonts w:ascii="Times New Roman" w:hAnsi="Times New Roman" w:cs="Times New Roman"/>
          <w:bCs/>
          <w:sz w:val="22"/>
        </w:rPr>
        <w:t>жекелеп</w:t>
      </w:r>
      <w:proofErr w:type="spellEnd"/>
      <w:r w:rsidRPr="00642F87">
        <w:rPr>
          <w:rFonts w:ascii="Times New Roman" w:hAnsi="Times New Roman" w:cs="Times New Roman"/>
          <w:bCs/>
          <w:sz w:val="22"/>
        </w:rPr>
        <w:t xml:space="preserve"> қарастыруға көмектеседі</w:t>
      </w:r>
      <w:r w:rsidR="004038CE" w:rsidRPr="00642F87">
        <w:rPr>
          <w:rFonts w:ascii="Times New Roman" w:hAnsi="Times New Roman" w:cs="Times New Roman"/>
          <w:bCs/>
          <w:sz w:val="22"/>
          <w:lang w:val="kk-KZ"/>
        </w:rPr>
        <w:t>.</w:t>
      </w:r>
    </w:p>
    <w:sectPr w:rsidR="00FF7581" w:rsidRPr="00642F87" w:rsidSect="007A2D5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5CC0111"/>
    <w:multiLevelType w:val="hybridMultilevel"/>
    <w:tmpl w:val="48A0BA52"/>
    <w:lvl w:ilvl="0" w:tplc="5B342F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5EC1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32F1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50FA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A212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C66BC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CE0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9074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84DF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788733B"/>
    <w:multiLevelType w:val="hybridMultilevel"/>
    <w:tmpl w:val="D47E8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A059F1"/>
    <w:multiLevelType w:val="hybridMultilevel"/>
    <w:tmpl w:val="9516F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506CE8"/>
    <w:multiLevelType w:val="hybridMultilevel"/>
    <w:tmpl w:val="87D0BA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037EF8"/>
    <w:multiLevelType w:val="hybridMultilevel"/>
    <w:tmpl w:val="94284172"/>
    <w:lvl w:ilvl="0" w:tplc="0C28E0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984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A607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C0D9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F6A4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A90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D0FE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B638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43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31B1F92"/>
    <w:multiLevelType w:val="hybridMultilevel"/>
    <w:tmpl w:val="0EBCC71C"/>
    <w:lvl w:ilvl="0" w:tplc="AF62D84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41434"/>
    <w:rsid w:val="000B221A"/>
    <w:rsid w:val="002249A3"/>
    <w:rsid w:val="00271F5D"/>
    <w:rsid w:val="00325934"/>
    <w:rsid w:val="003663F5"/>
    <w:rsid w:val="004038CE"/>
    <w:rsid w:val="004B5912"/>
    <w:rsid w:val="0050142F"/>
    <w:rsid w:val="005A7D9B"/>
    <w:rsid w:val="0062421E"/>
    <w:rsid w:val="00642F87"/>
    <w:rsid w:val="007A2D54"/>
    <w:rsid w:val="009F4546"/>
    <w:rsid w:val="00A302BD"/>
    <w:rsid w:val="00A41434"/>
    <w:rsid w:val="00B13A38"/>
    <w:rsid w:val="00BF7253"/>
    <w:rsid w:val="00D30D32"/>
    <w:rsid w:val="00D84287"/>
    <w:rsid w:val="00DE58AA"/>
    <w:rsid w:val="00E636F7"/>
    <w:rsid w:val="00E97FA6"/>
    <w:rsid w:val="00FF7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434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434"/>
    <w:rPr>
      <w:rFonts w:ascii="Lucida Grande CY" w:hAnsi="Lucida Grande CY" w:cs="Lucida Grande CY"/>
      <w:sz w:val="18"/>
      <w:szCs w:val="18"/>
    </w:rPr>
  </w:style>
  <w:style w:type="paragraph" w:styleId="a5">
    <w:name w:val="List Paragraph"/>
    <w:basedOn w:val="a"/>
    <w:uiPriority w:val="34"/>
    <w:qFormat/>
    <w:rsid w:val="0050142F"/>
    <w:pPr>
      <w:ind w:left="720"/>
      <w:contextualSpacing/>
    </w:pPr>
  </w:style>
  <w:style w:type="table" w:styleId="a6">
    <w:name w:val="Table Grid"/>
    <w:basedOn w:val="a1"/>
    <w:uiPriority w:val="59"/>
    <w:rsid w:val="005014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142F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7">
    <w:name w:val="Normal (Web)"/>
    <w:basedOn w:val="a"/>
    <w:uiPriority w:val="99"/>
    <w:semiHidden/>
    <w:unhideWhenUsed/>
    <w:rsid w:val="007A2D5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434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434"/>
    <w:rPr>
      <w:rFonts w:ascii="Lucida Grande CY" w:hAnsi="Lucida Grande CY" w:cs="Lucida Grande CY"/>
      <w:sz w:val="18"/>
      <w:szCs w:val="18"/>
    </w:rPr>
  </w:style>
  <w:style w:type="paragraph" w:styleId="a5">
    <w:name w:val="List Paragraph"/>
    <w:basedOn w:val="a"/>
    <w:uiPriority w:val="34"/>
    <w:qFormat/>
    <w:rsid w:val="0050142F"/>
    <w:pPr>
      <w:ind w:left="720"/>
      <w:contextualSpacing/>
    </w:pPr>
  </w:style>
  <w:style w:type="table" w:styleId="a6">
    <w:name w:val="Table Grid"/>
    <w:basedOn w:val="a1"/>
    <w:uiPriority w:val="59"/>
    <w:rsid w:val="005014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142F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7">
    <w:name w:val="Normal (Web)"/>
    <w:basedOn w:val="a"/>
    <w:uiPriority w:val="99"/>
    <w:semiHidden/>
    <w:unhideWhenUsed/>
    <w:rsid w:val="007A2D5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7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2445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7220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9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8274">
          <w:marLeft w:val="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7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Береке ОО</Company>
  <LinksUpToDate>false</LinksUpToDate>
  <CharactersWithSpaces>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 Абдуллаева</dc:creator>
  <cp:lastModifiedBy>akonarova</cp:lastModifiedBy>
  <cp:revision>6</cp:revision>
  <cp:lastPrinted>2015-04-08T10:41:00Z</cp:lastPrinted>
  <dcterms:created xsi:type="dcterms:W3CDTF">2015-04-08T06:28:00Z</dcterms:created>
  <dcterms:modified xsi:type="dcterms:W3CDTF">2015-04-08T10:41:00Z</dcterms:modified>
</cp:coreProperties>
</file>